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EE" w:rsidRPr="00D23BEE" w:rsidRDefault="00D23BEE" w:rsidP="00D23BEE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</w:pPr>
      <w:r w:rsidRPr="00D23BEE"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  <w:t>Волгоград, общество ветеранов</w:t>
      </w: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в поликлинику не хожу, но ежегодно лежу в госпитале ветеранов войны, частые гипертонические кризы. Могут ли выписки из стационара служить основанием для оформления группы?</w:t>
      </w: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мне 62 года . 40 лет назад была назначена 3 группа инвалидности.  Положительной динамики в состоянии нет. Разница в степени оценки состояния незначительная-  60%- для третьей группы , 70 % для второй. Что нужно для переосвидетельствования и реально ли оно?</w:t>
      </w: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787" w:rsidRDefault="00513787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23BEE" w:rsidRDefault="00D23BE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54118C"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D16BE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16BE" w:rsidRPr="00702098" w:rsidRDefault="00ED16BE" w:rsidP="0070209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 xml:space="preserve">В соответствии с пунктом 15 Правил признания лица инвалидом, утвержденных постановлением Правительства Российской Федерации от 20.02.2006 </w:t>
      </w:r>
      <w:r w:rsidR="00702098">
        <w:rPr>
          <w:rFonts w:ascii="Times New Roman" w:hAnsi="Times New Roman" w:cs="Times New Roman"/>
          <w:sz w:val="28"/>
          <w:szCs w:val="28"/>
        </w:rPr>
        <w:t xml:space="preserve">г. </w:t>
      </w:r>
      <w:r w:rsidRPr="00ED16BE">
        <w:rPr>
          <w:rFonts w:ascii="Times New Roman" w:hAnsi="Times New Roman" w:cs="Times New Roman"/>
          <w:sz w:val="28"/>
          <w:szCs w:val="28"/>
        </w:rPr>
        <w:t>№ 95 (далее – Правила</w:t>
      </w:r>
      <w:r w:rsidR="00702098">
        <w:rPr>
          <w:rFonts w:ascii="Times New Roman" w:hAnsi="Times New Roman" w:cs="Times New Roman"/>
          <w:sz w:val="28"/>
          <w:szCs w:val="28"/>
        </w:rPr>
        <w:t>),</w:t>
      </w:r>
      <w:r w:rsidRPr="00702098">
        <w:rPr>
          <w:rFonts w:ascii="Times New Roman" w:hAnsi="Times New Roman" w:cs="Times New Roman"/>
          <w:sz w:val="28"/>
          <w:szCs w:val="28"/>
        </w:rPr>
        <w:t xml:space="preserve">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ED16BE" w:rsidRDefault="00ED16BE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D16BE" w:rsidRDefault="00ED16BE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 результаты проведенных реабилитационных или абилитационных мероприятий.</w:t>
      </w:r>
    </w:p>
    <w:p w:rsidR="00ED16BE" w:rsidRDefault="00ED16BE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(пункт 16 Правил)</w:t>
      </w:r>
      <w:r w:rsidRPr="00ED16BE">
        <w:rPr>
          <w:rFonts w:ascii="Times New Roman" w:hAnsi="Times New Roman" w:cs="Times New Roman"/>
          <w:sz w:val="28"/>
          <w:szCs w:val="28"/>
        </w:rPr>
        <w:t>.</w:t>
      </w:r>
    </w:p>
    <w:p w:rsidR="00ED16BE" w:rsidRDefault="00FE202B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02B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медицинская организация имеет право направить гражданина на медико-социальную экспертизу независимо от того, в какой форме ему предоставляются медицинские услуги – амбулаторной, стационарной и т.д.</w:t>
      </w:r>
    </w:p>
    <w:p w:rsidR="00702098" w:rsidRDefault="00702098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19 Правил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</w:t>
      </w:r>
      <w:r w:rsidRPr="00F70F5C">
        <w:rPr>
          <w:rFonts w:ascii="Times New Roman" w:hAnsi="Times New Roman" w:cs="Times New Roman"/>
          <w:sz w:val="28"/>
          <w:szCs w:val="28"/>
        </w:rPr>
        <w:t>законный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уполномоченный представитель) имеет право обратиться в бюро самостоятельно.</w:t>
      </w:r>
    </w:p>
    <w:p w:rsidR="00702098" w:rsidRPr="00702098" w:rsidRDefault="00702098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FE202B" w:rsidRPr="00FE202B" w:rsidRDefault="00FE202B" w:rsidP="00702098">
      <w:pPr>
        <w:pStyle w:val="a3"/>
        <w:numPr>
          <w:ilvl w:val="0"/>
          <w:numId w:val="10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E20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 соответствии с </w:t>
      </w:r>
      <w:r w:rsidRPr="00FE202B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FE202B">
        <w:rPr>
          <w:rFonts w:ascii="Times New Roman" w:hAnsi="Times New Roman" w:cs="Times New Roman"/>
          <w:sz w:val="28"/>
          <w:szCs w:val="28"/>
        </w:rPr>
        <w:t xml:space="preserve"> Правил признания лица инвалидом, утвержденных постановлением Правительства Российской Федерации от 20.02.2006</w:t>
      </w:r>
      <w:r w:rsidR="003E345E">
        <w:rPr>
          <w:rFonts w:ascii="Times New Roman" w:hAnsi="Times New Roman" w:cs="Times New Roman"/>
          <w:sz w:val="28"/>
          <w:szCs w:val="28"/>
        </w:rPr>
        <w:t xml:space="preserve"> г. № 95</w:t>
      </w:r>
      <w:r w:rsidR="00F70F5C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202B">
        <w:rPr>
          <w:rFonts w:ascii="Times New Roman" w:hAnsi="Times New Roman" w:cs="Times New Roman"/>
          <w:b/>
          <w:sz w:val="28"/>
          <w:szCs w:val="28"/>
          <w:u w:val="single"/>
        </w:rPr>
        <w:t>переосвидетельствование гражданина, инвалидность которому установлена без указания срока переосвидетельствования,</w:t>
      </w:r>
      <w:r w:rsidRPr="00FE202B">
        <w:rPr>
          <w:rFonts w:ascii="Times New Roman" w:hAnsi="Times New Roman" w:cs="Times New Roman"/>
          <w:sz w:val="28"/>
          <w:szCs w:val="28"/>
        </w:rPr>
        <w:t xml:space="preserve"> </w:t>
      </w:r>
      <w:r w:rsidRPr="00FE202B">
        <w:rPr>
          <w:rFonts w:ascii="Times New Roman" w:hAnsi="Times New Roman" w:cs="Times New Roman"/>
          <w:b/>
          <w:sz w:val="28"/>
          <w:szCs w:val="28"/>
          <w:u w:val="single"/>
        </w:rPr>
        <w:t>может проводиться по его личному заявлению (заявлению его законного или уполномоченного представителя), либо по направлению медицинской организации в связи с изменением состояния здоровья, либо при осуществлении главным бюро, Федеральным бюро контроля за решениями, принятыми соответственно бюро, главным бюро.</w:t>
      </w:r>
    </w:p>
    <w:p w:rsidR="00FE202B" w:rsidRDefault="00F70F5C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направления граждан на медико-социальную экспертизу медицинской организацией, в том числе в связи с изменением состояния здоровья – см. пункт 2.</w:t>
      </w:r>
    </w:p>
    <w:p w:rsidR="00F70F5C" w:rsidRDefault="00F70F5C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19 Правил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</w:t>
      </w:r>
      <w:r w:rsidRPr="00F70F5C">
        <w:rPr>
          <w:rFonts w:ascii="Times New Roman" w:hAnsi="Times New Roman" w:cs="Times New Roman"/>
          <w:sz w:val="28"/>
          <w:szCs w:val="28"/>
        </w:rPr>
        <w:t>законный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уполномоченный представитель) имеет право обратиться в бюро самостоятельно.</w:t>
      </w:r>
    </w:p>
    <w:p w:rsidR="00F70F5C" w:rsidRDefault="00F70F5C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FD0D08" w:rsidRPr="00FD0D08" w:rsidRDefault="00FD0D08" w:rsidP="00702098">
      <w:pPr>
        <w:pStyle w:val="a3"/>
        <w:numPr>
          <w:ilvl w:val="0"/>
          <w:numId w:val="10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 утверждены приказом Минтруда России от 28.12.2017 г. № 888н (далее – Перечень показаний).</w:t>
      </w:r>
    </w:p>
    <w:p w:rsidR="00FD0D08" w:rsidRPr="00FD0D08" w:rsidRDefault="00FD0D08" w:rsidP="00702098">
      <w:pPr>
        <w:pStyle w:val="a3"/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Медицинские показания и противопоказания основаны, в первую очередь, на имеющихся у инвалида нарушениях функций, </w:t>
      </w:r>
      <w:r w:rsidRPr="00FD0D08">
        <w:rPr>
          <w:rFonts w:ascii="Times New Roman" w:hAnsi="Times New Roman" w:cs="Times New Roman"/>
          <w:bCs/>
          <w:sz w:val="28"/>
          <w:szCs w:val="28"/>
        </w:rPr>
        <w:t>обусловленных заболеваниями, последствиями травм или дефектами, и степени их выраженности</w:t>
      </w:r>
      <w:r>
        <w:rPr>
          <w:rFonts w:ascii="Times New Roman" w:hAnsi="Times New Roman" w:cs="Times New Roman"/>
          <w:bCs/>
          <w:sz w:val="28"/>
          <w:szCs w:val="28"/>
        </w:rPr>
        <w:t>, а не на конкретном основном или сопутствующем заболевании.</w:t>
      </w:r>
    </w:p>
    <w:p w:rsidR="00FD0D08" w:rsidRDefault="00FD0D0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Выраженность стойких нарушений нейромышечных, скелетных и связанных с движением (статодинамических)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 w:rsid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D0D08" w:rsidRDefault="00FD0D0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отметить, что в соответствии с Перечнем показаний медицинскими показаниями для обеспечения инвалида противопролежневым матрацем являются стойкие 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значительно выраженные нарушения нейромышечных, скелетных и связанных с движением 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(статодинамических) функций</w:t>
      </w:r>
      <w:r>
        <w:rPr>
          <w:rFonts w:ascii="Times New Roman" w:hAnsi="Times New Roman" w:cs="Times New Roman"/>
          <w:sz w:val="28"/>
          <w:szCs w:val="28"/>
        </w:rPr>
        <w:t>, приводящие к вынужденному длительному лежанию или обездвиженности.</w:t>
      </w:r>
    </w:p>
    <w:p w:rsidR="00FD0D08" w:rsidRPr="00FD0D08" w:rsidRDefault="00FD0D0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Медицинскими показаниями для обеспечения костылями являются стойкие 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выраженные или </w:t>
      </w:r>
      <w:r w:rsidRPr="003E345E">
        <w:rPr>
          <w:rFonts w:ascii="Times New Roman" w:hAnsi="Times New Roman" w:cs="Times New Roman"/>
          <w:b/>
          <w:sz w:val="28"/>
          <w:szCs w:val="28"/>
          <w:u w:val="single"/>
        </w:rPr>
        <w:t>умеренные нарушения</w:t>
      </w:r>
      <w:r w:rsidRPr="00FD0D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нейромышечных, скелетных и связанных с движением (статодинамических) функций</w:t>
      </w:r>
      <w:r w:rsidR="003E34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D0D08" w:rsidRPr="00FB3BC2" w:rsidRDefault="00FB3BC2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3BC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указанные технические средства реабилитации имеют взаимоисключающие медицинские показания и не могут быть включены в ИПРА инвалида одновременно.</w:t>
      </w:r>
    </w:p>
    <w:p w:rsidR="00702098" w:rsidRDefault="00702098" w:rsidP="00702098">
      <w:pPr>
        <w:pStyle w:val="a3"/>
        <w:numPr>
          <w:ilvl w:val="0"/>
          <w:numId w:val="10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22 Перечня показаний и противопоказаний для обеспечения инвалидов </w:t>
      </w:r>
      <w:r w:rsidR="003E3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техническими средствами реабилитации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утвержденного приказом Минтруда России от 28.12.2017 г. № 888н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медицинскими показаниями для обеспечения инвалидов абсорбирующим бельем, подгузниками, являются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заболеваний, последствий травм, пороков развития мочеполовой и пищеварительной систем.</w:t>
      </w:r>
    </w:p>
    <w:p w:rsidR="00702098" w:rsidRDefault="00702098" w:rsidP="00702098">
      <w:pPr>
        <w:pStyle w:val="a3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решения бюро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медико-социальной экспертизы (МСЭ)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вопроса о нуждаемости </w:t>
      </w:r>
      <w:r w:rsidR="003E34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инвалида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абсорбирующем белье,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подгузниках 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форме 088/у (форма направления на МСЭ медицинской организацией)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должна</w:t>
      </w: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быть в обязательном порядке приложена </w:t>
      </w:r>
      <w:r w:rsidRPr="0070209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консультация врача-уролога с заключением о наличии и степени тяжести недержания мочи, объеме выделяемой мочи за сутки, а также результаты УЗИ мочевого пузыря с определением объема остаточной мочи.</w:t>
      </w:r>
    </w:p>
    <w:p w:rsidR="00F70F5C" w:rsidRPr="00702098" w:rsidRDefault="00702098" w:rsidP="00702098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20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то же время указанное заключение и результаты обследования не означают автоматического включения абсорбирующего белья, подгузников в ИПРА, поскольку специалисты бюро медико-социальной экспертизы в своих решениях руководствуются в первую очередь результатами экспертно-реабилитационной диагностики, проведенной при освидетельствовании в бюро, положениями Классификаций и критериев для определения выраженности нарушений функций мочевыделения и пищеварения и Перечнем показаний для определения нуждаем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ости инвалида в том или ином техническом средстве реабилитации.</w:t>
      </w:r>
    </w:p>
    <w:p w:rsidR="008A7F3A" w:rsidRDefault="008A7F3A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41E67" w:rsidRDefault="00941E67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702098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02098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311" w:rsidRDefault="00DE0311" w:rsidP="008C3B50">
      <w:pPr>
        <w:spacing w:after="0" w:line="240" w:lineRule="auto"/>
      </w:pPr>
      <w:r>
        <w:separator/>
      </w:r>
    </w:p>
  </w:endnote>
  <w:endnote w:type="continuationSeparator" w:id="0">
    <w:p w:rsidR="00DE0311" w:rsidRDefault="00DE0311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FD0D08" w:rsidRDefault="005E01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D08" w:rsidRDefault="00FD0D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311" w:rsidRDefault="00DE0311" w:rsidP="008C3B50">
      <w:pPr>
        <w:spacing w:after="0" w:line="240" w:lineRule="auto"/>
      </w:pPr>
      <w:r>
        <w:separator/>
      </w:r>
    </w:p>
  </w:footnote>
  <w:footnote w:type="continuationSeparator" w:id="0">
    <w:p w:rsidR="00DE0311" w:rsidRDefault="00DE0311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306A1"/>
    <w:multiLevelType w:val="multilevel"/>
    <w:tmpl w:val="1E6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3E345E"/>
    <w:rsid w:val="00405588"/>
    <w:rsid w:val="00443CCF"/>
    <w:rsid w:val="0047233B"/>
    <w:rsid w:val="00481538"/>
    <w:rsid w:val="004A7CD0"/>
    <w:rsid w:val="004C7954"/>
    <w:rsid w:val="004D0E4A"/>
    <w:rsid w:val="004E10E2"/>
    <w:rsid w:val="004E3C6F"/>
    <w:rsid w:val="00503DC7"/>
    <w:rsid w:val="00505AA5"/>
    <w:rsid w:val="00513787"/>
    <w:rsid w:val="0054118C"/>
    <w:rsid w:val="005413DD"/>
    <w:rsid w:val="005B22F6"/>
    <w:rsid w:val="005B707C"/>
    <w:rsid w:val="005C16D1"/>
    <w:rsid w:val="005C713F"/>
    <w:rsid w:val="005E0120"/>
    <w:rsid w:val="005E2EC5"/>
    <w:rsid w:val="005E4EEC"/>
    <w:rsid w:val="005F26A6"/>
    <w:rsid w:val="005F5C18"/>
    <w:rsid w:val="0063461F"/>
    <w:rsid w:val="00653CB9"/>
    <w:rsid w:val="0067636E"/>
    <w:rsid w:val="00692ECC"/>
    <w:rsid w:val="006F7C0B"/>
    <w:rsid w:val="00702098"/>
    <w:rsid w:val="007232A8"/>
    <w:rsid w:val="007276A0"/>
    <w:rsid w:val="00752EE7"/>
    <w:rsid w:val="0078150B"/>
    <w:rsid w:val="007A012D"/>
    <w:rsid w:val="007A5BD9"/>
    <w:rsid w:val="007B28B5"/>
    <w:rsid w:val="007D177A"/>
    <w:rsid w:val="00870F14"/>
    <w:rsid w:val="008732E8"/>
    <w:rsid w:val="008A123D"/>
    <w:rsid w:val="008A7F3A"/>
    <w:rsid w:val="008B0513"/>
    <w:rsid w:val="008C3B50"/>
    <w:rsid w:val="00910224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4681"/>
    <w:rsid w:val="00B34A9E"/>
    <w:rsid w:val="00B5613B"/>
    <w:rsid w:val="00BB72D1"/>
    <w:rsid w:val="00C3009A"/>
    <w:rsid w:val="00C43E41"/>
    <w:rsid w:val="00C51328"/>
    <w:rsid w:val="00CA3506"/>
    <w:rsid w:val="00CC764A"/>
    <w:rsid w:val="00CF006A"/>
    <w:rsid w:val="00D00FDB"/>
    <w:rsid w:val="00D23BEE"/>
    <w:rsid w:val="00D35EA9"/>
    <w:rsid w:val="00D862D8"/>
    <w:rsid w:val="00DA6D2F"/>
    <w:rsid w:val="00DD2E71"/>
    <w:rsid w:val="00DD668D"/>
    <w:rsid w:val="00DE0311"/>
    <w:rsid w:val="00E02E54"/>
    <w:rsid w:val="00E63617"/>
    <w:rsid w:val="00E67C5C"/>
    <w:rsid w:val="00E85ED0"/>
    <w:rsid w:val="00EC3917"/>
    <w:rsid w:val="00ED16BE"/>
    <w:rsid w:val="00F13D5E"/>
    <w:rsid w:val="00F70F5C"/>
    <w:rsid w:val="00FB23C7"/>
    <w:rsid w:val="00FB3BC2"/>
    <w:rsid w:val="00FC1715"/>
    <w:rsid w:val="00FD0D08"/>
    <w:rsid w:val="00FD79AF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06041-A862-4A56-B781-0370AF44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3992-A207-43F2-8184-B0F12E38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4</cp:revision>
  <dcterms:created xsi:type="dcterms:W3CDTF">2019-04-13T11:47:00Z</dcterms:created>
  <dcterms:modified xsi:type="dcterms:W3CDTF">2019-04-13T12:07:00Z</dcterms:modified>
</cp:coreProperties>
</file>